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22" w:rsidRDefault="00F33222" w:rsidP="00F332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33222" w:rsidRDefault="00F33222" w:rsidP="00F3322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F33222" w:rsidRDefault="00F33222" w:rsidP="00F3322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222" w:rsidRDefault="00F33222" w:rsidP="00F3322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F33222" w:rsidRPr="00651EB6" w:rsidTr="00F33222">
        <w:tc>
          <w:tcPr>
            <w:tcW w:w="3604" w:type="dxa"/>
            <w:hideMark/>
          </w:tcPr>
          <w:p w:rsidR="00F33222" w:rsidRPr="00651EB6" w:rsidRDefault="00F33222">
            <w:pPr>
              <w:pStyle w:val="a7"/>
              <w:tabs>
                <w:tab w:val="left" w:pos="600"/>
                <w:tab w:val="center" w:pos="1694"/>
              </w:tabs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651EB6">
              <w:rPr>
                <w:rFonts w:ascii="Times New Roman" w:hAnsi="Times New Roman" w:cs="Times New Roman"/>
                <w:b/>
              </w:rPr>
              <w:tab/>
            </w:r>
            <w:r w:rsidRPr="00651EB6">
              <w:rPr>
                <w:rFonts w:ascii="Times New Roman" w:hAnsi="Times New Roman" w:cs="Times New Roman"/>
                <w:b/>
              </w:rPr>
              <w:tab/>
              <w:t>Рассмотрено</w:t>
            </w:r>
          </w:p>
        </w:tc>
        <w:tc>
          <w:tcPr>
            <w:tcW w:w="3061" w:type="dxa"/>
            <w:hideMark/>
          </w:tcPr>
          <w:p w:rsidR="00F33222" w:rsidRPr="00651EB6" w:rsidRDefault="00F33222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1EB6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F33222" w:rsidRPr="00651EB6" w:rsidRDefault="00F33222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1EB6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F33222" w:rsidRPr="00651EB6" w:rsidTr="00F33222">
        <w:tc>
          <w:tcPr>
            <w:tcW w:w="3604" w:type="dxa"/>
            <w:hideMark/>
          </w:tcPr>
          <w:p w:rsidR="00F33222" w:rsidRPr="00651EB6" w:rsidRDefault="00F33222">
            <w:pPr>
              <w:jc w:val="center"/>
              <w:rPr>
                <w:rFonts w:ascii="Times New Roman" w:hAnsi="Times New Roman"/>
              </w:rPr>
            </w:pPr>
            <w:r w:rsidRPr="00651EB6">
              <w:rPr>
                <w:rFonts w:ascii="Times New Roman" w:hAnsi="Times New Roman"/>
              </w:rPr>
              <w:t>на ШМС учителей</w:t>
            </w:r>
          </w:p>
          <w:p w:rsidR="00F33222" w:rsidRPr="00651EB6" w:rsidRDefault="009E4BB4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Протокол №  3 от 02.04</w:t>
            </w:r>
            <w:r w:rsidR="00F33222" w:rsidRPr="00651EB6">
              <w:rPr>
                <w:rFonts w:ascii="Times New Roman" w:hAnsi="Times New Roman"/>
              </w:rPr>
              <w:t>.2019г.</w:t>
            </w:r>
          </w:p>
        </w:tc>
        <w:tc>
          <w:tcPr>
            <w:tcW w:w="3061" w:type="dxa"/>
            <w:hideMark/>
          </w:tcPr>
          <w:p w:rsidR="00F33222" w:rsidRPr="00651EB6" w:rsidRDefault="00F33222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EB6">
              <w:rPr>
                <w:rFonts w:ascii="Times New Roman" w:hAnsi="Times New Roman" w:cs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F33222" w:rsidRPr="00651EB6" w:rsidRDefault="00F33222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EB6">
              <w:rPr>
                <w:rFonts w:ascii="Times New Roman" w:hAnsi="Times New Roman" w:cs="Times New Roman"/>
              </w:rPr>
              <w:t xml:space="preserve">приказом по МБОУ «СОШ» </w:t>
            </w:r>
            <w:proofErr w:type="spellStart"/>
            <w:r w:rsidRPr="00651EB6">
              <w:rPr>
                <w:rFonts w:ascii="Times New Roman" w:hAnsi="Times New Roman" w:cs="Times New Roman"/>
              </w:rPr>
              <w:t>с</w:t>
            </w:r>
            <w:proofErr w:type="gramStart"/>
            <w:r w:rsidRPr="00651EB6">
              <w:rPr>
                <w:rFonts w:ascii="Times New Roman" w:hAnsi="Times New Roman" w:cs="Times New Roman"/>
              </w:rPr>
              <w:t>.Н</w:t>
            </w:r>
            <w:proofErr w:type="gramEnd"/>
            <w:r w:rsidRPr="00651EB6">
              <w:rPr>
                <w:rFonts w:ascii="Times New Roman" w:hAnsi="Times New Roman" w:cs="Times New Roman"/>
              </w:rPr>
              <w:t>ошуль</w:t>
            </w:r>
            <w:proofErr w:type="spellEnd"/>
          </w:p>
          <w:p w:rsidR="00F33222" w:rsidRPr="00651EB6" w:rsidRDefault="00F33222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EB6">
              <w:rPr>
                <w:rFonts w:ascii="Times New Roman" w:hAnsi="Times New Roman" w:cs="Times New Roman"/>
              </w:rPr>
              <w:t xml:space="preserve">от </w:t>
            </w:r>
            <w:r w:rsidR="009E4BB4">
              <w:rPr>
                <w:rFonts w:ascii="Times New Roman" w:hAnsi="Times New Roman" w:cs="Times New Roman"/>
              </w:rPr>
              <w:t>05.04</w:t>
            </w:r>
            <w:r w:rsidRPr="00651EB6">
              <w:rPr>
                <w:rFonts w:ascii="Times New Roman" w:hAnsi="Times New Roman" w:cs="Times New Roman"/>
              </w:rPr>
              <w:t xml:space="preserve">  2019г. №</w:t>
            </w:r>
            <w:r w:rsidR="009E4BB4">
              <w:rPr>
                <w:rFonts w:ascii="Times New Roman" w:hAnsi="Times New Roman" w:cs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F33222" w:rsidRDefault="00F33222" w:rsidP="00F332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33222" w:rsidRDefault="00F33222" w:rsidP="00F332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33222" w:rsidRDefault="00F33222" w:rsidP="00F332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222" w:rsidRDefault="00F33222" w:rsidP="00F332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F33222" w:rsidRDefault="00F33222" w:rsidP="00F332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F33222" w:rsidRDefault="00F33222" w:rsidP="00F332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учебному предмету</w:t>
      </w:r>
    </w:p>
    <w:p w:rsidR="00F33222" w:rsidRDefault="00F33222" w:rsidP="00F33222">
      <w:pPr>
        <w:jc w:val="center"/>
        <w:rPr>
          <w:rFonts w:ascii="Times New Roman" w:hAnsi="Times New Roman"/>
          <w:b/>
        </w:rPr>
      </w:pPr>
    </w:p>
    <w:p w:rsidR="00F33222" w:rsidRDefault="00F33222" w:rsidP="00F33222">
      <w:pPr>
        <w:jc w:val="center"/>
        <w:rPr>
          <w:rFonts w:ascii="Times New Roman" w:hAnsi="Times New Roman"/>
          <w:b/>
        </w:rPr>
      </w:pPr>
    </w:p>
    <w:p w:rsidR="00F33222" w:rsidRDefault="00F33222" w:rsidP="00F33222">
      <w:pPr>
        <w:jc w:val="center"/>
        <w:rPr>
          <w:rFonts w:ascii="Times New Roman" w:hAnsi="Times New Roman"/>
          <w:b/>
        </w:rPr>
      </w:pPr>
    </w:p>
    <w:p w:rsidR="00F33222" w:rsidRDefault="00F33222" w:rsidP="00F33222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Иностранный язык (английский), 11 класс</w:t>
      </w:r>
    </w:p>
    <w:p w:rsidR="00F33222" w:rsidRDefault="00F33222" w:rsidP="00F332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(наименование учебного предмета)</w:t>
      </w:r>
    </w:p>
    <w:p w:rsidR="00F33222" w:rsidRDefault="00F33222" w:rsidP="00F33222">
      <w:pPr>
        <w:jc w:val="center"/>
        <w:rPr>
          <w:rFonts w:ascii="Times New Roman" w:hAnsi="Times New Roman"/>
        </w:rPr>
      </w:pPr>
    </w:p>
    <w:p w:rsidR="00F33222" w:rsidRDefault="00F33222" w:rsidP="00F33222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</w:t>
      </w:r>
    </w:p>
    <w:p w:rsidR="00F33222" w:rsidRDefault="00F33222" w:rsidP="00F332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(уровень образования)</w:t>
      </w:r>
    </w:p>
    <w:p w:rsidR="00F33222" w:rsidRDefault="00F33222" w:rsidP="00F33222">
      <w:pPr>
        <w:jc w:val="center"/>
        <w:rPr>
          <w:rFonts w:ascii="Times New Roman" w:hAnsi="Times New Roman"/>
        </w:rPr>
      </w:pPr>
    </w:p>
    <w:p w:rsidR="00F33222" w:rsidRDefault="00F33222" w:rsidP="00F33222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учителем </w:t>
      </w:r>
      <w:proofErr w:type="spellStart"/>
      <w:r>
        <w:rPr>
          <w:rFonts w:ascii="Times New Roman" w:hAnsi="Times New Roman"/>
          <w:sz w:val="28"/>
          <w:szCs w:val="28"/>
        </w:rPr>
        <w:t>Елдиной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Татьяной Александровной</w:t>
      </w:r>
    </w:p>
    <w:p w:rsidR="00F33222" w:rsidRDefault="00F33222" w:rsidP="00F332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(кем составлены контрольно-измерительные материалы)</w:t>
      </w:r>
    </w:p>
    <w:p w:rsidR="00F33222" w:rsidRDefault="00F33222" w:rsidP="00F33222">
      <w:pPr>
        <w:jc w:val="center"/>
        <w:rPr>
          <w:rFonts w:ascii="Times New Roman" w:hAnsi="Times New Roman"/>
          <w:b/>
        </w:rPr>
      </w:pPr>
    </w:p>
    <w:p w:rsidR="00F33222" w:rsidRDefault="00F33222" w:rsidP="00F33222">
      <w:pPr>
        <w:ind w:left="1974"/>
        <w:rPr>
          <w:rFonts w:ascii="Times New Roman" w:hAnsi="Times New Roman"/>
          <w:b/>
          <w:bCs/>
          <w:sz w:val="28"/>
          <w:szCs w:val="28"/>
        </w:rPr>
      </w:pPr>
    </w:p>
    <w:p w:rsidR="00F33222" w:rsidRDefault="00F33222" w:rsidP="00F33222">
      <w:pPr>
        <w:rPr>
          <w:rFonts w:ascii="Times New Roman" w:hAnsi="Times New Roman"/>
          <w:b/>
          <w:sz w:val="32"/>
          <w:szCs w:val="32"/>
        </w:rPr>
      </w:pPr>
    </w:p>
    <w:p w:rsidR="00F33222" w:rsidRDefault="00F33222" w:rsidP="003F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33222" w:rsidRDefault="00F33222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83FE6" w:rsidRDefault="00383FE6" w:rsidP="003F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83FE6" w:rsidRDefault="00383FE6" w:rsidP="0038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Кодификатор</w:t>
      </w:r>
    </w:p>
    <w:p w:rsidR="00383FE6" w:rsidRDefault="00383FE6" w:rsidP="0038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элементов содержания и требований к уровню подготовки</w:t>
      </w:r>
    </w:p>
    <w:p w:rsidR="00383FE6" w:rsidRDefault="0018631F" w:rsidP="0038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обучающихся 11</w:t>
      </w:r>
      <w:r w:rsidR="00383FE6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383FE6" w:rsidRDefault="00383FE6" w:rsidP="0038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проведения</w:t>
      </w:r>
    </w:p>
    <w:p w:rsidR="00383FE6" w:rsidRDefault="00383FE6" w:rsidP="0038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итогового контроля по</w:t>
      </w:r>
    </w:p>
    <w:p w:rsidR="00383FE6" w:rsidRPr="003F58E7" w:rsidRDefault="00383FE6" w:rsidP="003F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АНГЛИЙСКОМУ ЯЗЫКУ</w:t>
      </w:r>
    </w:p>
    <w:p w:rsidR="00383FE6" w:rsidRDefault="00383FE6" w:rsidP="00383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83FE6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</w:rPr>
        <w:t>Кодификатор элементов содержания и требований к уровню подготовки</w:t>
      </w:r>
    </w:p>
    <w:p w:rsidR="00383FE6" w:rsidRPr="00D64887" w:rsidRDefault="0018631F" w:rsidP="00383F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</w:rPr>
        <w:t>учащихся 11</w:t>
      </w:r>
      <w:r w:rsidR="00383FE6" w:rsidRPr="00D6488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классов по АНГЛИЙСКОМУ ЯЗЫКУ</w:t>
      </w:r>
    </w:p>
    <w:p w:rsidR="00383FE6" w:rsidRPr="00D64887" w:rsidRDefault="0018631F" w:rsidP="00252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D64887">
        <w:rPr>
          <w:rFonts w:ascii="TimesNewRomanPSMT" w:hAnsi="TimesNewRomanPSMT" w:cs="TimesNewRomanPSMT"/>
          <w:sz w:val="24"/>
          <w:szCs w:val="24"/>
        </w:rPr>
        <w:t>Кодификатор</w:t>
      </w:r>
      <w:r w:rsidR="00383FE6" w:rsidRPr="00D64887">
        <w:rPr>
          <w:rFonts w:ascii="TimesNewRomanPSMT" w:hAnsi="TimesNewRomanPSMT" w:cs="TimesNewRomanPSMT"/>
          <w:sz w:val="24"/>
          <w:szCs w:val="24"/>
        </w:rPr>
        <w:t xml:space="preserve"> составлен на основе Федерального компонента государственных стандартов основного общего и среднего (полного) общего образования по иностранному языку (базовый и профильный уровни) (приказ Минобразования России от 05.03.2004 № 1089 «Об утверждении Федерального компонента государственных стандартов общего, основного начального общего и среднего (полного) общего образования») и Примерных программ по английскому языку.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</w:rPr>
        <w:t>Раздел 1. Элементы содержания, проверяемые на итоговом контроле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TimesNewRoman"/>
          <w:sz w:val="24"/>
          <w:szCs w:val="24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</w:rPr>
        <w:t>по английскому языку</w:t>
      </w:r>
    </w:p>
    <w:p w:rsidR="00383FE6" w:rsidRPr="00D64887" w:rsidRDefault="00383FE6" w:rsidP="00252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D64887">
        <w:rPr>
          <w:rFonts w:ascii="Times New Roman" w:eastAsia="TimesNewRoman" w:hAnsi="Times New Roman"/>
          <w:sz w:val="24"/>
          <w:szCs w:val="24"/>
        </w:rPr>
        <w:t>Перечень элементов содержания, проверяемых на едином государственном экзамене по английскому языку, составлен на базе обязательного минимума содержания основных образовательных программ Федерального компонента государственных стандартов основного общего и среднего (полного) общего образования по предмету (базовый и профильный уровни).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D64887">
        <w:rPr>
          <w:rFonts w:ascii="Times New Roman" w:eastAsia="TimesNewRoman" w:hAnsi="Times New Roman"/>
          <w:sz w:val="24"/>
          <w:szCs w:val="24"/>
        </w:rPr>
        <w:t>В первом столбце указан код раздела, которому соответствуют крупные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D64887">
        <w:rPr>
          <w:rFonts w:ascii="Times New Roman" w:eastAsia="TimesNewRoman" w:hAnsi="Times New Roman"/>
          <w:sz w:val="24"/>
          <w:szCs w:val="24"/>
        </w:rPr>
        <w:t>блоки содержания. Во втором столбце приводится код элемента содержания,</w:t>
      </w:r>
    </w:p>
    <w:p w:rsidR="00383FE6" w:rsidRPr="00D64887" w:rsidRDefault="00383FE6" w:rsidP="0025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D64887">
        <w:rPr>
          <w:rFonts w:ascii="Times New Roman" w:eastAsia="TimesNewRoman" w:hAnsi="Times New Roman"/>
          <w:sz w:val="24"/>
          <w:szCs w:val="24"/>
        </w:rPr>
        <w:t>для которого создаются проверочные задания.</w:t>
      </w:r>
    </w:p>
    <w:p w:rsidR="006E29D2" w:rsidRPr="00D64887" w:rsidRDefault="006E29D2" w:rsidP="0025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95"/>
        <w:gridCol w:w="6630"/>
      </w:tblGrid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Код блока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Описание элементов содержания, проверяемых</w:t>
            </w:r>
          </w:p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в ходе итогового контроля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3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Italic" w:eastAsiaTheme="minorHAnsi" w:hAnsi="TimesNewRoman,BoldItalic" w:cs="TimesNewRoman,BoldItalic"/>
                <w:b/>
                <w:bCs/>
                <w:i/>
                <w:iCs/>
                <w:sz w:val="24"/>
                <w:szCs w:val="24"/>
              </w:rPr>
            </w:pPr>
            <w:r w:rsidRPr="00D64887">
              <w:rPr>
                <w:rFonts w:ascii="TimesNewRoman,BoldItalic" w:eastAsiaTheme="minorHAnsi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>Аудирование (длительность звучания одного текста – до</w:t>
            </w:r>
          </w:p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,BoldItalic" w:eastAsiaTheme="minorHAnsi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>3–4 минут)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3</w:t>
            </w: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.1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Понимание  на слух основного содержания несложныхзвучащих текстов монологического и диалогическогохарактера в рамках изучаемых тем (прогноз погоды,объявления, программы теле- и радиопередач, интервью,репортажи, фрагменты радиопередач)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3.2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Выборочное  понимание на слух необходимой информации в объявлениях, информационной рекламе, значимой/запрашиваемой информации из несложных аудио- 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и видеотекстов.</w:t>
            </w:r>
          </w:p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3.3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Полное понимание текстов монологического и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диалогического  характера в наиболее типичных ситуациях повседневного и элементарного профессионального общения.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2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Понимание основного содержания сообщений, несложных публикаций научно-познавательного характера, отрывков из произведений художественной литературы.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Полное и точное понимание информации прагматических текстов, публикаций научно-популярного характера, отрывков из произведений художественной литературы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Выборочное понимание необходимой /интересующей информации из текста статьи, проспекта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2.4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Понимание структурно-смысловых связей текста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4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Письмо</w:t>
            </w:r>
          </w:p>
        </w:tc>
      </w:tr>
      <w:tr w:rsidR="00D4397D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D" w:rsidRPr="00D64887" w:rsidRDefault="00D4397D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D" w:rsidRPr="00D64887" w:rsidRDefault="00D4397D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4.1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D" w:rsidRPr="00D64887" w:rsidRDefault="00D4397D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Автобиография/резюме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4.2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Заполнение анкеты, бланков, формуляра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4.3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Написание личного письма: с употреблением формул речевого этикета, принятых в стране/странах изучаемого языка; с изложением новостей; рассказом об отдельных фактах и событиях своей жизни; выражением своих суждений и чувств; описанием планов на будущее и расспросе об аналогичной информации партнера по письменному общению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4.5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Составление плана, тезисов устного/письменного сообщения, в том числе на основе выписок из текста. Изложение содержания прочитанного текста в тезисах и обзорах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4.6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Описание событий/фактов/явлений, в том числе с выражением собственного мнения/суждения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5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Языковой материал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5.1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Синтаксис</w:t>
            </w:r>
          </w:p>
        </w:tc>
      </w:tr>
      <w:tr w:rsidR="006E29D2" w:rsidRPr="00D64887" w:rsidTr="00D4397D">
        <w:trPr>
          <w:trHeight w:val="140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5.1.1</w:t>
            </w:r>
          </w:p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Коммуникативные типы предложений: утвердительные, вопросительные, отрицательные, побудительные и порядок слов в них</w:t>
            </w:r>
          </w:p>
        </w:tc>
      </w:tr>
      <w:tr w:rsidR="006E29D2" w:rsidRPr="00D64887" w:rsidTr="00D4397D">
        <w:trPr>
          <w:trHeight w:val="140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5.1.2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Предложения с начальным 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it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. Предложения с 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thereis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/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are</w:t>
            </w:r>
            <w:proofErr w:type="spellEnd"/>
          </w:p>
        </w:tc>
      </w:tr>
      <w:tr w:rsidR="006E29D2" w:rsidRPr="009E4BB4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5.1.3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Сложносочиненные  предложения с союзами 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and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but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or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. Сложноподчиненныепредложенияссоюзамиисоюзнымисловами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what, when, why, which, that, who, if, because,  that’s why, 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than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, so, for, since, during, so that, unless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5.1.4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Согласование времен и косвенная речь</w:t>
            </w:r>
          </w:p>
        </w:tc>
      </w:tr>
      <w:tr w:rsidR="006E29D2" w:rsidRPr="009E4BB4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5.1.5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Предложениясконструкциями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as … as; not so … as; neither … nor; either … or</w:t>
            </w:r>
          </w:p>
        </w:tc>
      </w:tr>
      <w:tr w:rsidR="006E29D2" w:rsidRPr="009E4BB4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5.1.6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Условныепредложенияреального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(Conditional I – If I see Jim, I’ll invite him to our school party.) 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инереального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(Conditional II – If I were you, I would start learning French.) 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характера</w:t>
            </w:r>
          </w:p>
        </w:tc>
      </w:tr>
      <w:tr w:rsidR="00D4397D" w:rsidRPr="009E4BB4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D" w:rsidRPr="00D64887" w:rsidRDefault="00D4397D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D" w:rsidRPr="00D64887" w:rsidRDefault="00D4397D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5.1.7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D" w:rsidRPr="00D64887" w:rsidRDefault="00D4397D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Предложениясконструкцией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 I wish (I wish I had my own room.)</w:t>
            </w:r>
          </w:p>
        </w:tc>
      </w:tr>
      <w:tr w:rsidR="006E29D2" w:rsidRPr="007E3552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5.1.9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3F58E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Эмфатические конструкции типа 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shimwho</w:t>
            </w:r>
            <w:proofErr w:type="spellEnd"/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 xml:space="preserve">… 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3F58E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>’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3F58E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 xml:space="preserve"> 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time</w:t>
            </w:r>
            <w:r w:rsidRPr="003F58E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 xml:space="preserve"> 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3F58E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 xml:space="preserve"> 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did</w:t>
            </w:r>
            <w:r w:rsidRPr="003F58E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</w:p>
        </w:tc>
      </w:tr>
      <w:tr w:rsidR="00D4397D" w:rsidRPr="009E4BB4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D" w:rsidRPr="003F58E7" w:rsidRDefault="00D4397D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D" w:rsidRPr="00D64887" w:rsidRDefault="00D4397D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5.1.10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D" w:rsidRPr="00D64887" w:rsidRDefault="00D4397D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/>
              </w:rPr>
            </w:pP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Конструкциисглаголамина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: to love/hate doing something; Stop talking</w:t>
            </w:r>
          </w:p>
        </w:tc>
      </w:tr>
      <w:tr w:rsidR="006E29D2" w:rsidRPr="009E4BB4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5.1.11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/>
              </w:rPr>
            </w:pP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Конструкции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 It takes me … to do something; to look/feel/be happy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5.1.12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Cs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iCs/>
                <w:sz w:val="24"/>
                <w:szCs w:val="24"/>
              </w:rPr>
              <w:t>Различные средства связи в тексте для обеспечения его целостности (</w:t>
            </w:r>
            <w:r w:rsidRPr="00D64887">
              <w:rPr>
                <w:rFonts w:ascii="Times New Roman" w:eastAsia="TimesNewRoman" w:hAnsi="Times New Roman"/>
                <w:iCs/>
                <w:sz w:val="24"/>
                <w:szCs w:val="24"/>
                <w:lang w:val="en-US"/>
              </w:rPr>
              <w:t>firstly</w:t>
            </w:r>
            <w:r w:rsidRPr="00D64887">
              <w:rPr>
                <w:rFonts w:ascii="Times New Roman" w:eastAsia="TimesNewRoman" w:hAnsi="Times New Roman"/>
                <w:iCs/>
                <w:sz w:val="24"/>
                <w:szCs w:val="24"/>
              </w:rPr>
              <w:t xml:space="preserve">, </w:t>
            </w:r>
            <w:r w:rsidRPr="00D64887">
              <w:rPr>
                <w:rFonts w:ascii="Times New Roman" w:eastAsia="TimesNewRoman" w:hAnsi="Times New Roman"/>
                <w:iCs/>
                <w:sz w:val="24"/>
                <w:szCs w:val="24"/>
                <w:lang w:val="en-US"/>
              </w:rPr>
              <w:t>finally</w:t>
            </w:r>
            <w:r w:rsidRPr="00D64887">
              <w:rPr>
                <w:rFonts w:ascii="Times New Roman" w:eastAsia="TimesNewRoman" w:hAnsi="Times New Roman"/>
                <w:iCs/>
                <w:sz w:val="24"/>
                <w:szCs w:val="24"/>
              </w:rPr>
              <w:t xml:space="preserve">, </w:t>
            </w:r>
            <w:r w:rsidRPr="00D64887">
              <w:rPr>
                <w:rFonts w:ascii="Times New Roman" w:eastAsia="TimesNewRoman" w:hAnsi="Times New Roman"/>
                <w:iCs/>
                <w:sz w:val="24"/>
                <w:szCs w:val="24"/>
                <w:lang w:val="en-US"/>
              </w:rPr>
              <w:t>atlast</w:t>
            </w:r>
            <w:r w:rsidRPr="00D64887">
              <w:rPr>
                <w:rFonts w:ascii="Times New Roman" w:eastAsia="TimesNewRoman" w:hAnsi="Times New Roman"/>
                <w:iCs/>
                <w:sz w:val="24"/>
                <w:szCs w:val="24"/>
              </w:rPr>
              <w:t xml:space="preserve">, </w:t>
            </w:r>
            <w:r w:rsidRPr="00D64887">
              <w:rPr>
                <w:rFonts w:ascii="Times New Roman" w:eastAsia="TimesNewRoman" w:hAnsi="Times New Roman"/>
                <w:iCs/>
                <w:sz w:val="24"/>
                <w:szCs w:val="24"/>
                <w:lang w:val="en-US"/>
              </w:rPr>
              <w:t>intheend</w:t>
            </w:r>
            <w:r w:rsidRPr="00D64887">
              <w:rPr>
                <w:rFonts w:ascii="Times New Roman" w:eastAsia="TimesNewRoman" w:hAnsi="Times New Roman"/>
                <w:iCs/>
                <w:sz w:val="24"/>
                <w:szCs w:val="24"/>
              </w:rPr>
              <w:t xml:space="preserve">, </w:t>
            </w:r>
            <w:r w:rsidRPr="00D64887">
              <w:rPr>
                <w:rFonts w:ascii="Times New Roman" w:eastAsia="TimesNewRoman" w:hAnsi="Times New Roman"/>
                <w:iCs/>
                <w:sz w:val="24"/>
                <w:szCs w:val="24"/>
                <w:lang w:val="en-US"/>
              </w:rPr>
              <w:t>however</w:t>
            </w:r>
            <w:r w:rsidRPr="00D64887">
              <w:rPr>
                <w:rFonts w:ascii="Times New Roman" w:eastAsia="TimesNewRoman" w:hAnsi="Times New Roman"/>
                <w:iCs/>
                <w:sz w:val="24"/>
                <w:szCs w:val="24"/>
              </w:rPr>
              <w:t xml:space="preserve"> и т.д.)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Морфология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5.2.1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Имена существительные во множественном числе, образованные по правилу, и исключения. Определенный/ неопределенный/ нулевой артикль 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5.2.2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Местоимения личные, притяжательные, указательные, неопределенные, относительные, вопросительные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5.2.3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Имена прилагательные в положительной, сравнительной и превосходной степенях, образованные по правилу, а также исключения. Наречия в сравнительной и превосходной степенях, а также наречия, выражающие количество (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many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/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much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few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 / a 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few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little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 / a 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little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)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5.2.4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Числительные количественные, порядковые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5.2.5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Предлоги места, направления, времени</w:t>
            </w:r>
          </w:p>
        </w:tc>
      </w:tr>
      <w:tr w:rsidR="006E29D2" w:rsidRPr="009E4BB4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5.2.6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Наиболее употребительные личные формы глаголов действительного залога: </w:t>
            </w:r>
            <w:proofErr w:type="spellStart"/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>PresentSimple</w:t>
            </w:r>
            <w:proofErr w:type="spellEnd"/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>FutureSimple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и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>Past</w:t>
            </w:r>
            <w:proofErr w:type="spellEnd"/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 xml:space="preserve">, 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и 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PastContinuous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 xml:space="preserve">, 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и 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PastPerfect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>.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Личные формы глаголов действительного залога: </w:t>
            </w:r>
            <w:proofErr w:type="spellStart"/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lastRenderedPageBreak/>
              <w:t>Present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PerfectContinuous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и </w:t>
            </w:r>
            <w:proofErr w:type="spellStart"/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PastPerfectContinuous</w:t>
            </w:r>
            <w:proofErr w:type="spellEnd"/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>.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Личныеформыглаголовстрадательногозалога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: 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Present Simple Passive, Future Simple Passive, Past Simple Passive,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</w:pP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Present Perfect Passive.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en-US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Личныеформыглаголовв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 xml:space="preserve">Present Simple (Indefinite) 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длявыражениядействийвбудущемпослесоюзов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if, when</w:t>
            </w:r>
          </w:p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5.2.7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Личные формы глаголов страдательного залога в 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PastPerfectPassive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 и 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FuturePerfectPassive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; 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Present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/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PastProgressive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 (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Continuous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 xml:space="preserve">) 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Passive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; неличные формы глаголов (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Infinitive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)  (пассивно)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5.2.8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Фразовые глаголы (</w:t>
            </w:r>
            <w:proofErr w:type="spellStart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lookfor</w:t>
            </w:r>
            <w:proofErr w:type="spellEnd"/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, …)</w:t>
            </w:r>
          </w:p>
        </w:tc>
      </w:tr>
      <w:tr w:rsidR="006E29D2" w:rsidRPr="009E4BB4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5.2.9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Модальныеглаголыиихэквиваленты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(</w:t>
            </w:r>
            <w:r w:rsidRPr="00D6488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>may, can/be able to, must/have to/should; need, shall, could, might, would</w:t>
            </w:r>
            <w:r w:rsidRPr="00D6488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E29D2" w:rsidRPr="00D64887" w:rsidTr="00D4397D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5.2.10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Различные грамматические средства для выражения будущего времени: </w:t>
            </w:r>
            <w:r w:rsidRPr="00D6488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SimpleFuture</w:t>
            </w:r>
            <w:r w:rsidRPr="00D6488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6488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tobegoingto</w:t>
            </w:r>
            <w:r w:rsidRPr="00D6488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6488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PresentContinuous</w:t>
            </w:r>
          </w:p>
        </w:tc>
      </w:tr>
    </w:tbl>
    <w:p w:rsidR="00D4397D" w:rsidRPr="00D64887" w:rsidRDefault="00D4397D" w:rsidP="006E29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E29D2" w:rsidRPr="00D64887" w:rsidRDefault="006E29D2" w:rsidP="006E29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</w:rPr>
        <w:t>Раздел 2. Перечень требований к уровню подготовки выпускников, достижение которого проверяется на итоговом тестировании.</w:t>
      </w:r>
    </w:p>
    <w:p w:rsidR="006E29D2" w:rsidRPr="00D64887" w:rsidRDefault="006E29D2" w:rsidP="006E29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E29D2" w:rsidRPr="00D64887" w:rsidRDefault="006E29D2" w:rsidP="006E29D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D64887">
        <w:rPr>
          <w:rFonts w:ascii="Times New Roman" w:eastAsia="TimesNewRoman" w:hAnsi="Times New Roman"/>
          <w:sz w:val="24"/>
          <w:szCs w:val="24"/>
        </w:rPr>
        <w:t>Перечень требований к уровню подготовки выпускников, достижение которых проверяется на ЕГЭ по английскому языку, составлен на основе требований к уровню подготовки выпускников с учетом обязательного минимума содержания основных образовательных программ.</w:t>
      </w:r>
    </w:p>
    <w:p w:rsidR="006E29D2" w:rsidRPr="00D64887" w:rsidRDefault="006E29D2" w:rsidP="006E29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7662"/>
      </w:tblGrid>
      <w:tr w:rsidR="006E29D2" w:rsidRPr="00D64887" w:rsidTr="0007719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Код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требований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Перечень требований к уровню подготовки, достижение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которого проверяется в ходе итогового контроля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E29D2" w:rsidRPr="00D64887" w:rsidTr="0007719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Уметь</w:t>
            </w:r>
          </w:p>
        </w:tc>
      </w:tr>
      <w:tr w:rsidR="006E29D2" w:rsidRPr="00D64887" w:rsidTr="0007719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Аудирование</w:t>
            </w:r>
          </w:p>
        </w:tc>
      </w:tr>
      <w:tr w:rsidR="006E29D2" w:rsidRPr="00D64887" w:rsidTr="0007719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2.2.1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Понимать основное содержание различных аутентичных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прагматических и публицистических аудио- и видеотекстов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соответствующей тематики</w:t>
            </w:r>
          </w:p>
        </w:tc>
      </w:tr>
      <w:tr w:rsidR="006E29D2" w:rsidRPr="00D64887" w:rsidTr="0007719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2.2.2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Извлекать необходимую /запрашиваемую информацию из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различных аудио- и видеотекстов соответствующей тематики</w:t>
            </w:r>
          </w:p>
        </w:tc>
      </w:tr>
      <w:tr w:rsidR="006E29D2" w:rsidRPr="00D64887" w:rsidTr="0007719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2.2.3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Полно и точно понимать высказывания собеседника в распространенных стандартных ситуациях повседневного общения</w:t>
            </w:r>
          </w:p>
        </w:tc>
      </w:tr>
      <w:tr w:rsidR="006E29D2" w:rsidRPr="00D64887" w:rsidTr="0007719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2.2.4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Отделять главную информацию от второстепенной, выявлять наиболее значимые факты 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9D2" w:rsidRPr="00D64887" w:rsidTr="0007719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2.2.5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тему звучащего текста </w:t>
            </w:r>
          </w:p>
        </w:tc>
      </w:tr>
      <w:tr w:rsidR="006E29D2" w:rsidRPr="00D64887" w:rsidTr="0007719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2.3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Чтение</w:t>
            </w:r>
          </w:p>
        </w:tc>
      </w:tr>
      <w:tr w:rsidR="006E29D2" w:rsidRPr="00D64887" w:rsidTr="0007719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 xml:space="preserve">Читать аутентичные тексты различных стилей (публицистические, художественные, научно-популярные, прагматические) с использованием различных стратегий/видов чтения в соответствии с коммуникативной задачей 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2.3.2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 xml:space="preserve">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 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2.3.3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 xml:space="preserve">Использовать просмотровое/поисковое чтение в целях извлечения необходимой/запрашиваемой информации из текста статьи, проспекта 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2.3.4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 xml:space="preserve">Использовать изучающее чтение в целях полного понимания информации прагматических текстов, публикаций научно-познавательного характера, отрывков из произведений художественной литературы 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2.3.5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 xml:space="preserve">Отделять главную информацию от второстепенной, выявлять наиболее значимые факты 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2.3.6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Определять свое отношение к прочитанному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2.4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Письмо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2.4.1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Заполнять различные виды анкет; сообщать сведения о себе в форме, принятой в стране/странах изучаемого языка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2.4.2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Описывать явления, события, излагать факты, выражая свои суждения и чувства; расспрашивать о новостях и излагать их в письме личного характера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2.4.3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Делать выписки из иноязычного текста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2.6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Компенсаторные умения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2.6.1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Пользоваться языковой и контекстуальной догадкой,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прогнозировать содержание при чтении и аудировании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2.6.2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2.6.3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 xml:space="preserve">Игнорировать лексические и смысловые трудности, не влияющие </w:t>
            </w: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на понимание основного содержания текста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ВЛАДЕТЬ ЯЗЫКОВЫМИ НАВЫКАМИ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Орфография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3.1.1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Владеть орфографическими навыками на основе изучаемого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лексико-грамматического материала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ЗНАТЬ/ПОНИМАТЬ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Языковой лексический материал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1.1.1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TimesNewRoman" w:hAnsiTheme="minorHAnsi" w:cs="TimesNew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значения лексических единиц, связанных с изученнойтематикой и соответствующими ситуациями общения (см.подраздел «Предметное содержание речи»);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1.1.2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значения оценочной лексики;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648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Языковой грамматический материал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1.2.1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изученных грамматических явлений (см. подраздел Грамматическая сторона речи» в разделе 1 кодификатора);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1.2.2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значение видовременных форм глагола;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1.2.3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значение неличных и неопределенно-личных форм глагола;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1.2.5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значение косвенной речи/косвенного вопроса;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sz w:val="24"/>
                <w:szCs w:val="24"/>
              </w:rPr>
              <w:t>1.2.6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="TimesNewRoman" w:hAnsi="Times New Roman"/>
                <w:sz w:val="24"/>
                <w:szCs w:val="24"/>
              </w:rPr>
              <w:t>значение согласования времен;</w:t>
            </w:r>
          </w:p>
        </w:tc>
      </w:tr>
      <w:tr w:rsidR="006E29D2" w:rsidRPr="00D64887" w:rsidTr="00077197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D64887">
              <w:rPr>
                <w:rFonts w:ascii="TimesNewRomanPSMT" w:hAnsi="TimesNewRomanPSMT" w:cs="TimesNewRomanPSMT"/>
                <w:b/>
                <w:sz w:val="24"/>
                <w:szCs w:val="24"/>
              </w:rPr>
              <w:t>1.3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6488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страноведческую информацию из аутентичных источников, сведения о стране/странах изучаемого</w:t>
            </w:r>
          </w:p>
          <w:p w:rsidR="006E29D2" w:rsidRPr="00D64887" w:rsidRDefault="006E29D2" w:rsidP="0007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6488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языка:</w:t>
            </w:r>
          </w:p>
        </w:tc>
      </w:tr>
    </w:tbl>
    <w:p w:rsidR="006E29D2" w:rsidRPr="00D64887" w:rsidRDefault="006E29D2" w:rsidP="0025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6E29D2" w:rsidRPr="00D64887" w:rsidRDefault="006E29D2" w:rsidP="0025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6E29D2" w:rsidRPr="00D64887" w:rsidRDefault="006E29D2" w:rsidP="0025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71204" w:rsidRPr="00D64887" w:rsidRDefault="00971204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71204" w:rsidRPr="00D64887" w:rsidRDefault="00971204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71204" w:rsidRPr="00D64887" w:rsidRDefault="00971204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71204" w:rsidRPr="00D64887" w:rsidRDefault="00971204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71204" w:rsidRPr="00D64887" w:rsidRDefault="00971204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83FE6" w:rsidRPr="00D64887" w:rsidRDefault="00383FE6" w:rsidP="00383FE6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383FE6" w:rsidRPr="00D64887" w:rsidRDefault="00383FE6" w:rsidP="00383FE6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383FE6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3F58E7" w:rsidRDefault="003F58E7" w:rsidP="003F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FE6" w:rsidRPr="00D64887" w:rsidRDefault="003F58E7" w:rsidP="003F58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383FE6"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СПЕЦИФИКАЦИЯ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итоговой работы для проведения итогового тестирования</w:t>
      </w:r>
    </w:p>
    <w:p w:rsidR="00383FE6" w:rsidRPr="00D64887" w:rsidRDefault="000B3DA4" w:rsidP="00383F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учащихся 11 </w:t>
      </w:r>
      <w:r w:rsidR="00383FE6"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классов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 ИНОСТРАННОМУ (английскому) ЯЗЫКУ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1. Назначение итоговой работы </w:t>
      </w: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>– оценить уровень языковой подготовки п</w:t>
      </w:r>
      <w:r w:rsidR="000B3DA4" w:rsidRPr="00D64887">
        <w:rPr>
          <w:rFonts w:ascii="TimesNewRomanPSMT" w:hAnsi="TimesNewRomanPSMT" w:cs="TimesNewRomanPSMT"/>
          <w:sz w:val="24"/>
          <w:szCs w:val="24"/>
          <w:lang w:eastAsia="ru-RU"/>
        </w:rPr>
        <w:t>о иностранному языку учащихся 11</w:t>
      </w: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 xml:space="preserve"> классов. 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2. Документы, определяющие нормативно-правовую базу итоговой работы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>Содержание итоговой работы определяется на основе следующих документов.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 xml:space="preserve">1. Стандарт основного общего образования по иностранному языку //Новые государственные стандарты по иностранному языку 2–11 классы (Образование в документах и комментариях.  М.: АСТ : </w:t>
      </w:r>
      <w:proofErr w:type="spellStart"/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>Астрель</w:t>
      </w:r>
      <w:proofErr w:type="spellEnd"/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>, 2004).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 xml:space="preserve">2. Примерные программы по иностранным языкам // Новые государственные стандарты по иностранному языку 2–11 классы (Образование в документах и комментариях. М.: АСТ :  </w:t>
      </w:r>
      <w:proofErr w:type="spellStart"/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>Астрель</w:t>
      </w:r>
      <w:proofErr w:type="spellEnd"/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>, 2004).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3. Подходы к отбору содержания, разработке структуры КИМ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Целью итогового контроля по иностранным языкам является определение уровня иноязычной коммуникативной компетенции экзаменуемых. Основное внимание при этом уделяется речевой компетенции, т.е. коммуникативным умениям в разных видах речевой деятельности: аудировании, чтении, а также языковой компетенции, т.е. языковым знаниям и навыкам. Социокультурные знания и умения проверяются опосредованно в разделах «Аудирование», «Чтение». Письменная час</w:t>
      </w:r>
      <w:r w:rsidR="000B3DA4"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ть, в свою очередь, включает четыре</w:t>
      </w:r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раздела: «Аудирование», «Чтение», </w:t>
      </w:r>
      <w:r w:rsidR="000B3DA4"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«Письмо», </w:t>
      </w:r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«Грамматика и лексика». </w:t>
      </w:r>
    </w:p>
    <w:p w:rsidR="00383FE6" w:rsidRPr="00D64887" w:rsidRDefault="000B3DA4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Связь итоговой работы за 11</w:t>
      </w:r>
      <w:r w:rsidR="00383FE6"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класс с экзаменационной работой за курс средней школы (ЕГЭ)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>Итоговая работа для проведен</w:t>
      </w:r>
      <w:r w:rsidR="000B3DA4" w:rsidRPr="00D64887">
        <w:rPr>
          <w:rFonts w:ascii="TimesNewRomanPSMT" w:hAnsi="TimesNewRomanPSMT" w:cs="TimesNewRomanPSMT"/>
          <w:sz w:val="24"/>
          <w:szCs w:val="24"/>
          <w:lang w:eastAsia="ru-RU"/>
        </w:rPr>
        <w:t>ия итогового контроля учащихся 11</w:t>
      </w: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 xml:space="preserve"> классов и контрольно-измерительные материалы ГИА по иностранному языку имеют общие объекты контроля (коммуникативные умения выпускников в аудировании, чтении, лексико-грамматические навыки) и некоторые общие элементы содержания.</w:t>
      </w:r>
    </w:p>
    <w:p w:rsidR="00370AB3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5. Распределение заданий КИМ по содержанию, видам умений и способам действий</w:t>
      </w:r>
    </w:p>
    <w:p w:rsidR="00383FE6" w:rsidRDefault="00370AB3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В </w:t>
      </w:r>
      <w:proofErr w:type="spellStart"/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аудировании</w:t>
      </w:r>
      <w:proofErr w:type="spellEnd"/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и чтении проверяется сформированность умений как понимания основного содержания письменных и звучащих текстов, так  и полного понимания соответствующих текстов. Кроме того, в разделе «Чтение» проверяется понимание структурно-смысловых связей в тексте,  а в разделе «Аудирование» – понимание в прослушиваемом тексте запрашиваемой информации или определение в нем ее отсутствия. В разделе «Грамматика и лексика» проверяются навыки оперирования грамматическими и лексическими единицами на основе предложенных текстов.  </w:t>
      </w:r>
    </w:p>
    <w:p w:rsidR="00210120" w:rsidRDefault="00C5241F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73025</wp:posOffset>
            </wp:positionV>
            <wp:extent cx="6356350" cy="876300"/>
            <wp:effectExtent l="19050" t="0" r="635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120" w:rsidRPr="00D64887" w:rsidRDefault="00210120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</w:p>
    <w:p w:rsidR="00C5241F" w:rsidRDefault="00C5241F" w:rsidP="00210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C5241F" w:rsidRDefault="00C5241F" w:rsidP="00210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C5241F" w:rsidRDefault="00C5241F" w:rsidP="00210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C5241F" w:rsidRDefault="00C5241F" w:rsidP="00210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383FE6" w:rsidRDefault="00210120" w:rsidP="00210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10120">
        <w:rPr>
          <w:rFonts w:ascii="TimesNewRomanPSMT" w:hAnsi="TimesNewRomanPSMT" w:cs="TimesNewRomanPSMT"/>
          <w:sz w:val="24"/>
          <w:szCs w:val="24"/>
          <w:lang w:eastAsia="ru-RU"/>
        </w:rPr>
        <w:t>Каждое из заданий 1–5, 6, 13–18 считается выполненным верно, если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Pr="00210120">
        <w:rPr>
          <w:rFonts w:ascii="TimesNewRomanPSMT" w:hAnsi="TimesNewRomanPSMT" w:cs="TimesNewRomanPSMT"/>
          <w:sz w:val="24"/>
          <w:szCs w:val="24"/>
          <w:lang w:eastAsia="ru-RU"/>
        </w:rPr>
        <w:t>правильно указана цифра или последовательность цифр. Каждое из заданий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Pr="00210120">
        <w:rPr>
          <w:rFonts w:ascii="TimesNewRomanPSMT" w:hAnsi="TimesNewRomanPSMT" w:cs="TimesNewRomanPSMT"/>
          <w:sz w:val="24"/>
          <w:szCs w:val="24"/>
          <w:lang w:eastAsia="ru-RU"/>
        </w:rPr>
        <w:t>7–12 считается выполненным верно, если правильно указана грамматическая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Pr="00210120">
        <w:rPr>
          <w:rFonts w:ascii="TimesNewRomanPSMT" w:hAnsi="TimesNewRomanPSMT" w:cs="TimesNewRomanPSMT"/>
          <w:sz w:val="24"/>
          <w:szCs w:val="24"/>
          <w:lang w:eastAsia="ru-RU"/>
        </w:rPr>
        <w:t>форма, состоящая из одного или нескольких слов. Ответ на задания 7–12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Pr="00210120">
        <w:rPr>
          <w:rFonts w:ascii="TimesNewRomanPSMT" w:hAnsi="TimesNewRomanPSMT" w:cs="TimesNewRomanPSMT"/>
          <w:sz w:val="24"/>
          <w:szCs w:val="24"/>
          <w:lang w:eastAsia="ru-RU"/>
        </w:rPr>
        <w:t>считается неверным, если грамматиче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ская форма содержит орфографиче</w:t>
      </w:r>
      <w:r w:rsidRPr="00210120">
        <w:rPr>
          <w:rFonts w:ascii="TimesNewRomanPSMT" w:hAnsi="TimesNewRomanPSMT" w:cs="TimesNewRomanPSMT"/>
          <w:sz w:val="24"/>
          <w:szCs w:val="24"/>
          <w:lang w:eastAsia="ru-RU"/>
        </w:rPr>
        <w:t>скую ошибку.</w:t>
      </w:r>
    </w:p>
    <w:p w:rsidR="00210120" w:rsidRDefault="00210120" w:rsidP="00210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210120" w:rsidRDefault="00210120" w:rsidP="00210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210120" w:rsidRDefault="00210120" w:rsidP="00210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210120">
        <w:rPr>
          <w:rFonts w:ascii="TimesNewRomanPSMT" w:hAnsi="TimesNewRomanPSMT" w:cs="TimesNewRomanPSMT"/>
          <w:sz w:val="24"/>
          <w:szCs w:val="24"/>
          <w:lang w:eastAsia="ru-RU"/>
        </w:rPr>
        <w:t>Полученные выпускниками баллы з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а выполнение всех заданий сумми</w:t>
      </w:r>
      <w:r w:rsidRPr="00210120">
        <w:rPr>
          <w:rFonts w:ascii="TimesNewRomanPSMT" w:hAnsi="TimesNewRomanPSMT" w:cs="TimesNewRomanPSMT"/>
          <w:sz w:val="24"/>
          <w:szCs w:val="24"/>
          <w:lang w:eastAsia="ru-RU"/>
        </w:rPr>
        <w:t>руются. Суммарный балл выпускника пере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водится в отметку по пятибалль</w:t>
      </w:r>
      <w:r w:rsidRPr="00210120">
        <w:rPr>
          <w:rFonts w:ascii="TimesNewRomanPSMT" w:hAnsi="TimesNewRomanPSMT" w:cs="TimesNewRomanPSMT"/>
          <w:sz w:val="24"/>
          <w:szCs w:val="24"/>
          <w:lang w:eastAsia="ru-RU"/>
        </w:rPr>
        <w:t>ной шкале с уче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том рекомендуемых шкал перевода. </w:t>
      </w:r>
    </w:p>
    <w:p w:rsidR="00210120" w:rsidRDefault="00210120" w:rsidP="00210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210120" w:rsidRDefault="00210120" w:rsidP="00210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210120" w:rsidRDefault="00210120" w:rsidP="00210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drawing>
          <wp:inline distT="0" distB="0" distL="0" distR="0">
            <wp:extent cx="6134100" cy="8763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120" w:rsidRDefault="00210120" w:rsidP="00210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210120" w:rsidRPr="00D64887" w:rsidRDefault="00210120" w:rsidP="00210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383FE6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i/>
          <w:iCs/>
          <w:sz w:val="24"/>
          <w:szCs w:val="24"/>
          <w:lang w:eastAsia="ru-RU"/>
        </w:rPr>
      </w:pPr>
      <w:r w:rsidRPr="00D64887">
        <w:rPr>
          <w:rFonts w:ascii="TimesNewRomanPS-ItalicMT" w:hAnsi="TimesNewRomanPS-ItalicMT" w:cs="TimesNewRomanPS-ItalicMT"/>
          <w:b/>
          <w:i/>
          <w:iCs/>
          <w:sz w:val="24"/>
          <w:szCs w:val="24"/>
          <w:lang w:eastAsia="ru-RU"/>
        </w:rPr>
        <w:t>Таблица 1. Распределение заданий итоговой работы по количеству и типам заданий</w:t>
      </w:r>
    </w:p>
    <w:p w:rsidR="00C5241F" w:rsidRDefault="00C5241F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i/>
          <w:iCs/>
          <w:sz w:val="24"/>
          <w:szCs w:val="24"/>
          <w:lang w:eastAsia="ru-RU"/>
        </w:rPr>
      </w:pPr>
    </w:p>
    <w:p w:rsidR="00C5241F" w:rsidRDefault="00C5241F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i/>
          <w:iCs/>
          <w:sz w:val="24"/>
          <w:szCs w:val="24"/>
          <w:lang w:eastAsia="ru-RU"/>
        </w:rPr>
      </w:pPr>
      <w:r>
        <w:rPr>
          <w:rFonts w:ascii="TimesNewRomanPS-ItalicMT" w:hAnsi="TimesNewRomanPS-ItalicMT" w:cs="TimesNewRomanPS-ItalicMT"/>
          <w:b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012855" cy="1838325"/>
            <wp:effectExtent l="19050" t="0" r="694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5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41F" w:rsidRDefault="00C5241F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i/>
          <w:iCs/>
          <w:sz w:val="24"/>
          <w:szCs w:val="24"/>
          <w:lang w:eastAsia="ru-RU"/>
        </w:rPr>
      </w:pPr>
    </w:p>
    <w:p w:rsidR="00C5241F" w:rsidRPr="00D64887" w:rsidRDefault="00C5241F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i/>
          <w:iCs/>
          <w:sz w:val="24"/>
          <w:szCs w:val="24"/>
          <w:lang w:eastAsia="ru-RU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6. Распределение заданий экзаменационной работы по проверяемым видам деятельности, умениям и навыкам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>В итоговой работе проверяется иноязычная коммуни</w:t>
      </w:r>
      <w:r w:rsidR="000B3DA4" w:rsidRPr="00D64887">
        <w:rPr>
          <w:rFonts w:ascii="TimesNewRomanPSMT" w:hAnsi="TimesNewRomanPSMT" w:cs="TimesNewRomanPSMT"/>
          <w:sz w:val="24"/>
          <w:szCs w:val="24"/>
          <w:lang w:eastAsia="ru-RU"/>
        </w:rPr>
        <w:t>кативная компетенция учащихся 11</w:t>
      </w: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 xml:space="preserve"> классов. Контрольно-измерительные задания итоговой работы нацелены на проверку речевых умений выпускников двух видах речевой </w:t>
      </w: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lastRenderedPageBreak/>
        <w:t>деятельности (аудировании, чтении</w:t>
      </w:r>
      <w:r w:rsidR="00377C7D" w:rsidRPr="00D64887">
        <w:rPr>
          <w:rFonts w:ascii="TimesNewRomanPSMT" w:hAnsi="TimesNewRomanPSMT" w:cs="TimesNewRomanPSMT"/>
          <w:sz w:val="24"/>
          <w:szCs w:val="24"/>
          <w:lang w:eastAsia="ru-RU"/>
        </w:rPr>
        <w:t>, письме</w:t>
      </w: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>), а также некоторых языковых навыков. В частности, в итоговой работе проверяются: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D64887">
        <w:rPr>
          <w:rFonts w:ascii="SymbolMT" w:eastAsia="SymbolMT" w:hAnsi="TimesNewRomanPS-BoldMT" w:cs="SymbolMT" w:hint="eastAsia"/>
          <w:sz w:val="24"/>
          <w:szCs w:val="24"/>
          <w:lang w:eastAsia="ru-RU"/>
        </w:rPr>
        <w:t xml:space="preserve"> </w:t>
      </w: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 xml:space="preserve">навыки использования языковых единиц в коммуникативно-значимом контексте </w:t>
      </w:r>
      <w:r w:rsidRPr="00D64887">
        <w:rPr>
          <w:rFonts w:ascii="SymbolMT" w:eastAsia="SymbolMT" w:hAnsi="TimesNewRomanPS-BoldMT" w:cs="SymbolMT" w:hint="eastAsia"/>
          <w:sz w:val="24"/>
          <w:szCs w:val="24"/>
          <w:lang w:eastAsia="ru-RU"/>
        </w:rPr>
        <w:t></w:t>
      </w: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 xml:space="preserve">умение читать текст с пониманием основного содержания и умение понимать в прочитанном тексте запрашиваемую информацию </w:t>
      </w:r>
    </w:p>
    <w:p w:rsidR="00A558A8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D64887">
        <w:rPr>
          <w:rFonts w:ascii="SymbolMT" w:eastAsia="SymbolMT" w:hAnsi="TimesNewRomanPS-BoldMT" w:cs="SymbolMT" w:hint="eastAsia"/>
          <w:sz w:val="24"/>
          <w:szCs w:val="24"/>
          <w:lang w:eastAsia="ru-RU"/>
        </w:rPr>
        <w:t xml:space="preserve"> </w:t>
      </w: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 xml:space="preserve">умение понимать на слух основное содержание прослушанного текста и умение понимать в прослушанном тексте запрашиваемую информацию </w:t>
      </w:r>
    </w:p>
    <w:p w:rsidR="00A558A8" w:rsidRDefault="00A558A8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7. Жанрово-стилистическая принадлежность тек</w:t>
      </w:r>
      <w:r w:rsidR="00377C7D"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стов, используемых в </w:t>
      </w: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задания</w:t>
      </w:r>
      <w:r w:rsidR="00377C7D"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х</w:t>
      </w: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по а</w:t>
      </w:r>
      <w:r w:rsidR="00377C7D"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удированию и по чтению</w:t>
      </w:r>
    </w:p>
    <w:p w:rsidR="00383FE6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Аудирование: высказывания собеседников в распространенных стандартных </w:t>
      </w:r>
      <w:r w:rsidR="00377C7D"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ситуациях повседневного общения</w:t>
      </w:r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Чтение: публицистические, художественные, научно-популярные  и прагматические тексты.</w:t>
      </w:r>
    </w:p>
    <w:p w:rsidR="00A558A8" w:rsidRPr="00D64887" w:rsidRDefault="00A558A8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8. Время выполнения работы</w:t>
      </w:r>
      <w:r w:rsidR="00A558A8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– 1 час (60 минут)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A558A8" w:rsidRPr="00A558A8" w:rsidRDefault="00A558A8" w:rsidP="00A558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A558A8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На выполнение письменной части работы отводится 1 час (60 минут).</w:t>
      </w:r>
    </w:p>
    <w:p w:rsidR="00383FE6" w:rsidRPr="00D64887" w:rsidRDefault="00A558A8" w:rsidP="00A558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A558A8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На выполнение устной части рабо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ты отводится 15 минут на одного </w:t>
      </w:r>
      <w:r w:rsidRPr="00A558A8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выпускника.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="00383FE6"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Рекомендуемое время выполнения заданий по разделам:</w:t>
      </w:r>
    </w:p>
    <w:p w:rsidR="00383FE6" w:rsidRPr="00D64887" w:rsidRDefault="00377C7D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«Аудирование» – 10</w:t>
      </w:r>
      <w:r w:rsidR="00383FE6"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минут;</w:t>
      </w:r>
    </w:p>
    <w:p w:rsidR="00383FE6" w:rsidRPr="00D64887" w:rsidRDefault="00377C7D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«Чтение» – 15</w:t>
      </w:r>
      <w:r w:rsidR="00383FE6"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минут;</w:t>
      </w:r>
    </w:p>
    <w:p w:rsidR="00383FE6" w:rsidRPr="00D64887" w:rsidRDefault="00377C7D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«Грамматика и лексика» – 3</w:t>
      </w:r>
      <w:r w:rsidR="00A558A8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5</w:t>
      </w:r>
      <w:r w:rsidR="00383FE6"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минут;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9. Дополнительные материалы и оборудование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 xml:space="preserve">Дополнительные материалы и оборудование во время итогового теста </w:t>
      </w:r>
      <w:proofErr w:type="gramStart"/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>-к</w:t>
      </w:r>
      <w:proofErr w:type="gramEnd"/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 xml:space="preserve">омпакт-диск(CD) с материалами </w:t>
      </w:r>
      <w:r w:rsidR="00A558A8">
        <w:rPr>
          <w:rFonts w:ascii="TimesNewRomanPSMT" w:hAnsi="TimesNewRomanPSMT" w:cs="TimesNewRomanPSMT"/>
          <w:sz w:val="24"/>
          <w:szCs w:val="24"/>
          <w:lang w:eastAsia="ru-RU"/>
        </w:rPr>
        <w:t>для выполнения заданий раздела 1</w:t>
      </w:r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 xml:space="preserve"> (задания по </w:t>
      </w:r>
      <w:proofErr w:type="spellStart"/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>аудированию</w:t>
      </w:r>
      <w:proofErr w:type="spellEnd"/>
      <w:r w:rsidRPr="00D64887">
        <w:rPr>
          <w:rFonts w:ascii="TimesNewRomanPSMT" w:hAnsi="TimesNewRomanPSMT" w:cs="TimesNewRomanPSMT"/>
          <w:sz w:val="24"/>
          <w:szCs w:val="24"/>
          <w:lang w:eastAsia="ru-RU"/>
        </w:rPr>
        <w:t>); часы.</w:t>
      </w: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252215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10. Система оценивания отдельных заданий и работы в целом</w:t>
      </w:r>
    </w:p>
    <w:p w:rsidR="00383FE6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Верное выполнение заданий с кратким ответом оценивается следующим образом. Экзаменуемый получает 1 балл: – за каждый правильно выбранный и записанный ответ в заданиях на выбор и запись одного правильного ответа из предложенного перечня ответов; – за каждое правильно установленное соответствие в заданиях на установление соответствия позиций, представленных в двух множествах; – </w:t>
      </w:r>
      <w:proofErr w:type="gramStart"/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за каждый правильный ответ в заданиях на заполнение пропуска  в связном тексте путем преобразования предложенной начальной формы слова в нужную грамматическую форму</w:t>
      </w:r>
      <w:proofErr w:type="gramEnd"/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; – за каждый правильный ответ в заданиях на заполнение пропуска  в связном тексте путем образования родственного слова от предложенного опорного слова</w:t>
      </w:r>
    </w:p>
    <w:p w:rsidR="00A558A8" w:rsidRPr="00D64887" w:rsidRDefault="00A558A8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</w:p>
    <w:p w:rsidR="00383FE6" w:rsidRPr="00D64887" w:rsidRDefault="00383FE6" w:rsidP="0038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11. Услови</w:t>
      </w:r>
      <w:r w:rsidR="007E355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я проведения и проверки контрольной работы</w:t>
      </w:r>
    </w:p>
    <w:p w:rsidR="00B75F6C" w:rsidRPr="00D64887" w:rsidRDefault="00383FE6" w:rsidP="00B75F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D6488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Во время итогового контроля учащиеся выполняют тестирование сидя за отдельной партой. Расположение мест учащихся – в шахматном порядке. Проводит тестирование и осуществляет проверку выполненных итоговых работ, работающий в данном классе учитель английского языка.</w:t>
      </w:r>
    </w:p>
    <w:p w:rsidR="00B75F6C" w:rsidRPr="00D64887" w:rsidRDefault="00B75F6C" w:rsidP="00B75F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</w:p>
    <w:p w:rsidR="00383FE6" w:rsidRPr="00D64887" w:rsidRDefault="00210120" w:rsidP="00383FE6">
      <w:pPr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341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FE6" w:rsidRPr="00D64887" w:rsidRDefault="00383FE6" w:rsidP="00383FE6">
      <w:pPr>
        <w:jc w:val="both"/>
        <w:rPr>
          <w:sz w:val="24"/>
          <w:szCs w:val="24"/>
        </w:rPr>
      </w:pPr>
    </w:p>
    <w:p w:rsidR="00383FE6" w:rsidRPr="00D64887" w:rsidRDefault="00383FE6" w:rsidP="00383FE6">
      <w:pPr>
        <w:jc w:val="both"/>
        <w:rPr>
          <w:sz w:val="24"/>
          <w:szCs w:val="24"/>
        </w:rPr>
      </w:pPr>
    </w:p>
    <w:p w:rsidR="00383FE6" w:rsidRPr="00D64887" w:rsidRDefault="00383FE6" w:rsidP="00383FE6">
      <w:pPr>
        <w:rPr>
          <w:sz w:val="24"/>
          <w:szCs w:val="24"/>
        </w:rPr>
      </w:pPr>
    </w:p>
    <w:p w:rsidR="0003480D" w:rsidRDefault="0003480D">
      <w:pPr>
        <w:rPr>
          <w:sz w:val="24"/>
          <w:szCs w:val="24"/>
        </w:rPr>
      </w:pPr>
    </w:p>
    <w:p w:rsidR="00A558A8" w:rsidRDefault="00A558A8">
      <w:pPr>
        <w:rPr>
          <w:sz w:val="24"/>
          <w:szCs w:val="24"/>
        </w:rPr>
      </w:pPr>
    </w:p>
    <w:p w:rsidR="00A558A8" w:rsidRDefault="00A558A8">
      <w:pPr>
        <w:rPr>
          <w:sz w:val="24"/>
          <w:szCs w:val="24"/>
        </w:rPr>
      </w:pPr>
    </w:p>
    <w:p w:rsidR="00A558A8" w:rsidRDefault="00A558A8">
      <w:pPr>
        <w:rPr>
          <w:sz w:val="24"/>
          <w:szCs w:val="24"/>
        </w:rPr>
      </w:pPr>
    </w:p>
    <w:p w:rsidR="00A558A8" w:rsidRDefault="00A558A8">
      <w:pPr>
        <w:rPr>
          <w:sz w:val="24"/>
          <w:szCs w:val="24"/>
        </w:rPr>
      </w:pPr>
    </w:p>
    <w:p w:rsidR="00A558A8" w:rsidRDefault="00A558A8">
      <w:pPr>
        <w:rPr>
          <w:sz w:val="24"/>
          <w:szCs w:val="24"/>
        </w:rPr>
      </w:pPr>
    </w:p>
    <w:p w:rsidR="00A558A8" w:rsidRDefault="00A558A8">
      <w:pPr>
        <w:rPr>
          <w:sz w:val="24"/>
          <w:szCs w:val="24"/>
        </w:rPr>
      </w:pPr>
    </w:p>
    <w:p w:rsidR="00A558A8" w:rsidRDefault="00A558A8">
      <w:pPr>
        <w:rPr>
          <w:sz w:val="24"/>
          <w:szCs w:val="24"/>
        </w:rPr>
      </w:pPr>
    </w:p>
    <w:p w:rsidR="00A558A8" w:rsidRPr="00A558A8" w:rsidRDefault="00A558A8">
      <w:pPr>
        <w:rPr>
          <w:sz w:val="36"/>
          <w:szCs w:val="36"/>
        </w:rPr>
      </w:pPr>
      <w:r w:rsidRPr="00A558A8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                         </w:t>
      </w:r>
      <w:r w:rsidRPr="00A558A8">
        <w:rPr>
          <w:sz w:val="36"/>
          <w:szCs w:val="36"/>
        </w:rPr>
        <w:t xml:space="preserve">  1 вариант</w:t>
      </w: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-3810</wp:posOffset>
            </wp:positionV>
            <wp:extent cx="5391150" cy="3686175"/>
            <wp:effectExtent l="1905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8A8" w:rsidRDefault="00A558A8" w:rsidP="00A558A8">
      <w:pPr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93980</wp:posOffset>
            </wp:positionV>
            <wp:extent cx="5657850" cy="657225"/>
            <wp:effectExtent l="1905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-415290</wp:posOffset>
            </wp:positionV>
            <wp:extent cx="6496050" cy="7143750"/>
            <wp:effectExtent l="19050" t="0" r="0" b="0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Default="00A558A8" w:rsidP="00A558A8">
      <w:pPr>
        <w:rPr>
          <w:sz w:val="24"/>
          <w:szCs w:val="24"/>
        </w:rPr>
      </w:pPr>
    </w:p>
    <w:p w:rsidR="00A558A8" w:rsidRDefault="00A558A8" w:rsidP="00A558A8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558A8" w:rsidRDefault="00A558A8" w:rsidP="00A558A8">
      <w:pPr>
        <w:tabs>
          <w:tab w:val="left" w:pos="5280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280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280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28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-120015</wp:posOffset>
            </wp:positionV>
            <wp:extent cx="6400800" cy="7153275"/>
            <wp:effectExtent l="19050" t="0" r="0" b="0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8A8" w:rsidRDefault="00A558A8" w:rsidP="00A558A8">
      <w:pPr>
        <w:tabs>
          <w:tab w:val="left" w:pos="5280"/>
        </w:tabs>
        <w:rPr>
          <w:sz w:val="24"/>
          <w:szCs w:val="24"/>
        </w:rPr>
      </w:pPr>
    </w:p>
    <w:p w:rsidR="00A558A8" w:rsidRDefault="00A558A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58A8" w:rsidRDefault="00A558A8" w:rsidP="00A558A8">
      <w:pPr>
        <w:tabs>
          <w:tab w:val="left" w:pos="528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-501015</wp:posOffset>
            </wp:positionV>
            <wp:extent cx="5744210" cy="4943475"/>
            <wp:effectExtent l="19050" t="0" r="8890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124460</wp:posOffset>
            </wp:positionV>
            <wp:extent cx="6853918" cy="4600575"/>
            <wp:effectExtent l="19050" t="0" r="4082" b="0"/>
            <wp:wrapNone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18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8A8" w:rsidRPr="00A558A8" w:rsidRDefault="00A558A8" w:rsidP="00A558A8">
      <w:pPr>
        <w:rPr>
          <w:sz w:val="24"/>
          <w:szCs w:val="24"/>
        </w:rPr>
      </w:pPr>
    </w:p>
    <w:p w:rsidR="00A558A8" w:rsidRDefault="00A558A8" w:rsidP="00A558A8">
      <w:pPr>
        <w:tabs>
          <w:tab w:val="left" w:pos="2415"/>
        </w:tabs>
        <w:rPr>
          <w:sz w:val="24"/>
          <w:szCs w:val="24"/>
        </w:rPr>
      </w:pPr>
    </w:p>
    <w:p w:rsidR="00A558A8" w:rsidRDefault="00A558A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58A8" w:rsidRDefault="00A558A8" w:rsidP="00A558A8">
      <w:pPr>
        <w:tabs>
          <w:tab w:val="left" w:pos="241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71091" cy="3876675"/>
            <wp:effectExtent l="1905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091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Default="00A558A8" w:rsidP="00A558A8">
      <w:pPr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2 </w:t>
      </w:r>
      <w:r w:rsidRPr="00A558A8">
        <w:rPr>
          <w:sz w:val="36"/>
          <w:szCs w:val="36"/>
        </w:rPr>
        <w:t>вариант</w:t>
      </w:r>
    </w:p>
    <w:p w:rsidR="00A558A8" w:rsidRDefault="00A558A8" w:rsidP="00A558A8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146685</wp:posOffset>
            </wp:positionV>
            <wp:extent cx="5391150" cy="3686175"/>
            <wp:effectExtent l="19050" t="0" r="0" b="0"/>
            <wp:wrapNone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8A8" w:rsidRPr="00A558A8" w:rsidRDefault="00A558A8" w:rsidP="00A558A8">
      <w:pPr>
        <w:rPr>
          <w:sz w:val="36"/>
          <w:szCs w:val="36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</w:p>
    <w:p w:rsidR="00A558A8" w:rsidRDefault="00A558A8">
      <w:p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2378710</wp:posOffset>
            </wp:positionV>
            <wp:extent cx="5657850" cy="657225"/>
            <wp:effectExtent l="19050" t="0" r="0" b="0"/>
            <wp:wrapNone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page"/>
      </w:r>
    </w:p>
    <w:p w:rsidR="00A558A8" w:rsidRDefault="00A558A8" w:rsidP="00A558A8">
      <w:pPr>
        <w:tabs>
          <w:tab w:val="left" w:pos="54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-389724</wp:posOffset>
            </wp:positionH>
            <wp:positionV relativeFrom="paragraph">
              <wp:posOffset>-177165</wp:posOffset>
            </wp:positionV>
            <wp:extent cx="6050341" cy="7124700"/>
            <wp:effectExtent l="19050" t="0" r="7559" b="0"/>
            <wp:wrapNone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341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Default="00A558A8" w:rsidP="00A558A8">
      <w:pPr>
        <w:rPr>
          <w:sz w:val="24"/>
          <w:szCs w:val="24"/>
        </w:rPr>
      </w:pPr>
    </w:p>
    <w:p w:rsidR="00A558A8" w:rsidRDefault="00A558A8" w:rsidP="00A558A8">
      <w:pPr>
        <w:tabs>
          <w:tab w:val="left" w:pos="71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558A8" w:rsidRDefault="00A558A8" w:rsidP="00A558A8">
      <w:pPr>
        <w:tabs>
          <w:tab w:val="left" w:pos="7155"/>
        </w:tabs>
        <w:rPr>
          <w:sz w:val="24"/>
          <w:szCs w:val="24"/>
        </w:rPr>
      </w:pPr>
    </w:p>
    <w:p w:rsidR="00A558A8" w:rsidRDefault="00A558A8" w:rsidP="00A558A8">
      <w:pPr>
        <w:tabs>
          <w:tab w:val="left" w:pos="71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03157" cy="6943725"/>
            <wp:effectExtent l="19050" t="0" r="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157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A8" w:rsidRDefault="00A558A8" w:rsidP="00A558A8">
      <w:pPr>
        <w:tabs>
          <w:tab w:val="left" w:pos="7155"/>
        </w:tabs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Pr="00A558A8" w:rsidRDefault="00A558A8" w:rsidP="00A558A8">
      <w:pPr>
        <w:rPr>
          <w:sz w:val="24"/>
          <w:szCs w:val="24"/>
        </w:rPr>
      </w:pPr>
    </w:p>
    <w:p w:rsidR="00A558A8" w:rsidRDefault="00A558A8" w:rsidP="00A558A8">
      <w:pPr>
        <w:rPr>
          <w:sz w:val="24"/>
          <w:szCs w:val="24"/>
        </w:rPr>
      </w:pPr>
    </w:p>
    <w:p w:rsidR="00A558A8" w:rsidRDefault="00A558A8" w:rsidP="00A558A8">
      <w:pPr>
        <w:tabs>
          <w:tab w:val="left" w:pos="66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558A8" w:rsidRDefault="00A558A8" w:rsidP="00A558A8">
      <w:pPr>
        <w:tabs>
          <w:tab w:val="left" w:pos="663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-339090</wp:posOffset>
            </wp:positionV>
            <wp:extent cx="5210175" cy="4705350"/>
            <wp:effectExtent l="19050" t="0" r="9525" b="0"/>
            <wp:wrapNone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0C" w:rsidRDefault="0082240C" w:rsidP="00A558A8">
      <w:pPr>
        <w:tabs>
          <w:tab w:val="left" w:pos="6630"/>
        </w:tabs>
        <w:rPr>
          <w:sz w:val="24"/>
          <w:szCs w:val="24"/>
        </w:rPr>
      </w:pPr>
    </w:p>
    <w:p w:rsidR="0082240C" w:rsidRDefault="0082240C">
      <w:p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4389120</wp:posOffset>
            </wp:positionV>
            <wp:extent cx="6094095" cy="3924300"/>
            <wp:effectExtent l="19050" t="0" r="1905" b="0"/>
            <wp:wrapNone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page"/>
      </w:r>
    </w:p>
    <w:p w:rsidR="00A558A8" w:rsidRPr="00A558A8" w:rsidRDefault="0082240C" w:rsidP="00A558A8">
      <w:pPr>
        <w:tabs>
          <w:tab w:val="left" w:pos="663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320" cy="3686175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2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8A8" w:rsidRPr="00A558A8" w:rsidSect="001A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47D02"/>
    <w:multiLevelType w:val="hybridMultilevel"/>
    <w:tmpl w:val="23DE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C80"/>
    <w:rsid w:val="0002488B"/>
    <w:rsid w:val="0003480D"/>
    <w:rsid w:val="00060C80"/>
    <w:rsid w:val="000B3DA4"/>
    <w:rsid w:val="0018631F"/>
    <w:rsid w:val="001A51A8"/>
    <w:rsid w:val="00210120"/>
    <w:rsid w:val="00252215"/>
    <w:rsid w:val="00370AB3"/>
    <w:rsid w:val="00377C7D"/>
    <w:rsid w:val="00383FE6"/>
    <w:rsid w:val="003F58E7"/>
    <w:rsid w:val="00477BB8"/>
    <w:rsid w:val="00630A21"/>
    <w:rsid w:val="00651EB6"/>
    <w:rsid w:val="006E29D2"/>
    <w:rsid w:val="007E3552"/>
    <w:rsid w:val="0082240C"/>
    <w:rsid w:val="00971204"/>
    <w:rsid w:val="009E4BB4"/>
    <w:rsid w:val="009F6966"/>
    <w:rsid w:val="00A558A8"/>
    <w:rsid w:val="00B75F6C"/>
    <w:rsid w:val="00C43FB1"/>
    <w:rsid w:val="00C5241F"/>
    <w:rsid w:val="00D160AB"/>
    <w:rsid w:val="00D4397D"/>
    <w:rsid w:val="00D64887"/>
    <w:rsid w:val="00E964B1"/>
    <w:rsid w:val="00EC1C09"/>
    <w:rsid w:val="00F3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F6C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120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F33222"/>
  </w:style>
  <w:style w:type="paragraph" w:styleId="a7">
    <w:name w:val="No Spacing"/>
    <w:link w:val="a6"/>
    <w:uiPriority w:val="1"/>
    <w:qFormat/>
    <w:rsid w:val="00F332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2019-03-29T07:34:00Z</dcterms:created>
  <dcterms:modified xsi:type="dcterms:W3CDTF">2019-08-05T06:54:00Z</dcterms:modified>
</cp:coreProperties>
</file>